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D4" w:rsidRPr="006D3DD4" w:rsidRDefault="006D3DD4" w:rsidP="006D3DD4">
      <w:pPr>
        <w:shd w:val="clear" w:color="auto" w:fill="FFFFFF"/>
        <w:jc w:val="center"/>
        <w:rPr>
          <w:rFonts w:ascii="Arial" w:hAnsi="Arial" w:cs="Arial"/>
          <w:b/>
          <w:bCs/>
          <w:color w:val="1E3952"/>
          <w:sz w:val="26"/>
          <w:szCs w:val="26"/>
          <w:u w:val="single"/>
        </w:rPr>
      </w:pPr>
      <w:r w:rsidRPr="006D3DD4">
        <w:rPr>
          <w:rFonts w:ascii="Arial" w:hAnsi="Arial" w:cs="Arial"/>
          <w:b/>
          <w:bCs/>
          <w:color w:val="1E3952"/>
          <w:sz w:val="26"/>
          <w:szCs w:val="26"/>
          <w:u w:val="single"/>
        </w:rPr>
        <w:t>LISTA DE SENTENCIAS DE JURISPRUDENCIA DEL TRIBUNAL SUPREMO DE ESPAÑA</w:t>
      </w:r>
    </w:p>
    <w:p w:rsidR="006D3DD4" w:rsidRPr="006D3DD4" w:rsidRDefault="006D3DD4" w:rsidP="006D3DD4">
      <w:pPr>
        <w:shd w:val="clear" w:color="auto" w:fill="FFFFFF"/>
        <w:jc w:val="center"/>
        <w:rPr>
          <w:rFonts w:ascii="Arial" w:hAnsi="Arial" w:cs="Arial"/>
          <w:b/>
          <w:bCs/>
          <w:color w:val="1E3952"/>
          <w:sz w:val="26"/>
          <w:szCs w:val="26"/>
          <w:u w:val="single"/>
        </w:rPr>
      </w:pPr>
    </w:p>
    <w:p w:rsidR="006D3DD4" w:rsidRDefault="006D3DD4" w:rsidP="006D3DD4">
      <w:pPr>
        <w:shd w:val="clear" w:color="auto" w:fill="FFFFFF"/>
        <w:rPr>
          <w:rFonts w:ascii="Arial" w:hAnsi="Arial" w:cs="Arial"/>
          <w:b/>
          <w:bCs/>
          <w:color w:val="1E3952"/>
          <w:sz w:val="26"/>
          <w:szCs w:val="26"/>
        </w:rPr>
      </w:pPr>
    </w:p>
    <w:p w:rsidR="006D3DD4" w:rsidRPr="006D3DD4" w:rsidRDefault="006D3DD4" w:rsidP="006D3DD4">
      <w:pPr>
        <w:shd w:val="clear" w:color="auto" w:fill="FFFFFF"/>
        <w:rPr>
          <w:rFonts w:ascii="Arial" w:hAnsi="Arial" w:cs="Arial"/>
          <w:b/>
          <w:bCs/>
          <w:sz w:val="22"/>
          <w:szCs w:val="22"/>
        </w:rPr>
      </w:pPr>
      <w:hyperlink r:id="rId6"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6989/1996</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ES:TS:1996:6989</w:t>
        </w:r>
        <w:proofErr w:type="gramEnd"/>
      </w:hyperlink>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Nº de Resolución: 649/1996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Ponente: JOAQUIN DELGADO GARCIA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Nº Recurso: 1474/1994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Fecha: 07/12/1996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2"/>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Tráfico de drogas: conspiración y proposición, organización, extrema gravedad. Receptación específica relativa a delitos contra la salud pública: prueba de la procedencia del dinero receptado. Delitos contra la Hacienda Pública.</w:t>
      </w:r>
      <w:r w:rsidR="000B1181">
        <w:rPr>
          <w:rFonts w:ascii="Arial" w:hAnsi="Arial" w:cs="Arial"/>
          <w:sz w:val="22"/>
          <w:szCs w:val="22"/>
        </w:rPr>
        <w:t xml:space="preserve"> </w:t>
      </w:r>
      <w:r w:rsidRPr="006D3DD4">
        <w:rPr>
          <w:rFonts w:ascii="Arial" w:hAnsi="Arial" w:cs="Arial"/>
          <w:sz w:val="22"/>
          <w:szCs w:val="22"/>
        </w:rPr>
        <w:t xml:space="preserve">Imputado: art. 118 </w:t>
      </w:r>
      <w:proofErr w:type="spellStart"/>
      <w:r w:rsidRPr="006D3DD4">
        <w:rPr>
          <w:rFonts w:ascii="Arial" w:hAnsi="Arial" w:cs="Arial"/>
          <w:sz w:val="22"/>
          <w:szCs w:val="22"/>
        </w:rPr>
        <w:t>LECr</w:t>
      </w:r>
      <w:proofErr w:type="spellEnd"/>
      <w:r w:rsidRPr="006D3DD4">
        <w:rPr>
          <w:rFonts w:ascii="Arial" w:hAnsi="Arial" w:cs="Arial"/>
          <w:sz w:val="22"/>
          <w:szCs w:val="22"/>
        </w:rPr>
        <w:t>.</w:t>
      </w:r>
      <w:r w:rsidR="000B1181">
        <w:rPr>
          <w:rFonts w:ascii="Arial" w:hAnsi="Arial" w:cs="Arial"/>
          <w:sz w:val="22"/>
          <w:szCs w:val="22"/>
        </w:rPr>
        <w:t xml:space="preserve"> </w:t>
      </w:r>
      <w:r w:rsidRPr="006D3DD4">
        <w:rPr>
          <w:rFonts w:ascii="Arial" w:hAnsi="Arial" w:cs="Arial"/>
          <w:sz w:val="22"/>
          <w:szCs w:val="22"/>
        </w:rPr>
        <w:t xml:space="preserve">Secreto sumarial: art. 301 y 302 </w:t>
      </w:r>
      <w:proofErr w:type="spellStart"/>
      <w:r w:rsidRPr="006D3DD4">
        <w:rPr>
          <w:rFonts w:ascii="Arial" w:hAnsi="Arial" w:cs="Arial"/>
          <w:sz w:val="22"/>
          <w:szCs w:val="22"/>
        </w:rPr>
        <w:t>LECr</w:t>
      </w:r>
      <w:proofErr w:type="spellEnd"/>
      <w:r w:rsidRPr="006D3DD4">
        <w:rPr>
          <w:rFonts w:ascii="Arial" w:hAnsi="Arial" w:cs="Arial"/>
          <w:sz w:val="22"/>
          <w:szCs w:val="22"/>
        </w:rPr>
        <w:t>.</w:t>
      </w:r>
      <w:r w:rsidR="000B1181">
        <w:rPr>
          <w:rFonts w:ascii="Arial" w:hAnsi="Arial" w:cs="Arial"/>
          <w:sz w:val="22"/>
          <w:szCs w:val="22"/>
        </w:rPr>
        <w:t xml:space="preserve"> </w:t>
      </w:r>
      <w:r w:rsidRPr="006D3DD4">
        <w:rPr>
          <w:rFonts w:ascii="Arial" w:hAnsi="Arial" w:cs="Arial"/>
          <w:sz w:val="22"/>
          <w:szCs w:val="22"/>
        </w:rPr>
        <w:t>Quebrantamiento de forma: claridad, contradicción, predeterminación, incongruencia omisiva, prueba denegada.</w:t>
      </w:r>
      <w:r w:rsidR="000B1181">
        <w:rPr>
          <w:rFonts w:ascii="Arial" w:hAnsi="Arial" w:cs="Arial"/>
          <w:sz w:val="22"/>
          <w:szCs w:val="22"/>
        </w:rPr>
        <w:t xml:space="preserve"> </w:t>
      </w:r>
      <w:r w:rsidRPr="006D3DD4">
        <w:rPr>
          <w:rFonts w:ascii="Arial" w:hAnsi="Arial" w:cs="Arial"/>
          <w:sz w:val="22"/>
          <w:szCs w:val="22"/>
        </w:rPr>
        <w:t>Desistimiento en la conspiración.</w:t>
      </w:r>
      <w:r w:rsidR="000B1181">
        <w:rPr>
          <w:rFonts w:ascii="Arial" w:hAnsi="Arial" w:cs="Arial"/>
          <w:sz w:val="22"/>
          <w:szCs w:val="22"/>
        </w:rPr>
        <w:t xml:space="preserve"> </w:t>
      </w:r>
      <w:bookmarkStart w:id="0" w:name="_GoBack"/>
      <w:bookmarkEnd w:id="0"/>
      <w:r w:rsidRPr="006D3DD4">
        <w:rPr>
          <w:rFonts w:ascii="Arial" w:hAnsi="Arial" w:cs="Arial"/>
          <w:sz w:val="22"/>
          <w:szCs w:val="22"/>
        </w:rPr>
        <w:t>Principio acusatorio.</w:t>
      </w:r>
    </w:p>
    <w:p w:rsidR="006D3DD4" w:rsidRPr="006D3DD4" w:rsidRDefault="006D3DD4" w:rsidP="006D3DD4">
      <w:pPr>
        <w:autoSpaceDE w:val="0"/>
        <w:autoSpaceDN w:val="0"/>
        <w:adjustRightInd w:val="0"/>
        <w:spacing w:line="226" w:lineRule="auto"/>
        <w:ind w:left="426"/>
        <w:jc w:val="both"/>
        <w:rPr>
          <w:rFonts w:ascii="Arial" w:hAnsi="Arial" w:cs="Arial"/>
          <w:sz w:val="22"/>
          <w:szCs w:val="22"/>
        </w:rPr>
      </w:pPr>
    </w:p>
    <w:p w:rsidR="006D3DD4" w:rsidRPr="006D3DD4" w:rsidRDefault="006D3DD4" w:rsidP="006D3DD4">
      <w:pPr>
        <w:autoSpaceDE w:val="0"/>
        <w:autoSpaceDN w:val="0"/>
        <w:adjustRightInd w:val="0"/>
        <w:spacing w:line="226" w:lineRule="auto"/>
        <w:ind w:left="426"/>
        <w:jc w:val="both"/>
        <w:rPr>
          <w:rFonts w:ascii="Arial" w:hAnsi="Arial" w:cs="Arial"/>
          <w:sz w:val="22"/>
          <w:szCs w:val="22"/>
        </w:rPr>
      </w:pPr>
      <w:hyperlink r:id="rId7" w:history="1">
        <w:r w:rsidRPr="006D3DD4">
          <w:rPr>
            <w:rStyle w:val="Hipervnculo"/>
            <w:rFonts w:ascii="Arial" w:hAnsi="Arial" w:cs="Arial"/>
            <w:color w:val="auto"/>
            <w:sz w:val="22"/>
            <w:szCs w:val="22"/>
          </w:rPr>
          <w:t>http://www.poderjudicial.es/search/openDocument/8d2c004be393a51a/20031003</w:t>
        </w:r>
      </w:hyperlink>
    </w:p>
    <w:p w:rsidR="006D3DD4" w:rsidRPr="006D3DD4" w:rsidRDefault="006D3DD4" w:rsidP="006D3DD4">
      <w:pPr>
        <w:autoSpaceDE w:val="0"/>
        <w:autoSpaceDN w:val="0"/>
        <w:adjustRightInd w:val="0"/>
        <w:spacing w:line="226" w:lineRule="auto"/>
        <w:ind w:left="426"/>
        <w:jc w:val="both"/>
        <w:rPr>
          <w:rFonts w:ascii="Arial" w:hAnsi="Arial" w:cs="Arial"/>
          <w:sz w:val="22"/>
          <w:szCs w:val="22"/>
        </w:rPr>
      </w:pPr>
    </w:p>
    <w:p w:rsidR="006D3DD4" w:rsidRPr="006D3DD4" w:rsidRDefault="006D3DD4" w:rsidP="006D3DD4">
      <w:pPr>
        <w:autoSpaceDE w:val="0"/>
        <w:autoSpaceDN w:val="0"/>
        <w:adjustRightInd w:val="0"/>
        <w:spacing w:line="226" w:lineRule="auto"/>
        <w:ind w:left="426"/>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8"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3613/1997</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ES:TS:1997:3613</w:t>
        </w:r>
        <w:proofErr w:type="gramEnd"/>
      </w:hyperlink>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Nº de Resolución: 755/1997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Ponente: CANDIDO CONDE-PUMPIDO TOURON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Nº Recurso: 276/1996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Fecha: 23/05/1997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1"/>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Blanqueo de capitales. Prueba indiciaria.</w:t>
      </w:r>
    </w:p>
    <w:p w:rsidR="006D3DD4" w:rsidRPr="006D3DD4" w:rsidRDefault="006D3DD4" w:rsidP="006D3DD4">
      <w:pPr>
        <w:autoSpaceDE w:val="0"/>
        <w:autoSpaceDN w:val="0"/>
        <w:adjustRightInd w:val="0"/>
        <w:spacing w:line="226" w:lineRule="auto"/>
        <w:ind w:left="426"/>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9" w:history="1">
        <w:r w:rsidRPr="006D3DD4">
          <w:rPr>
            <w:rStyle w:val="Hipervnculo"/>
            <w:rFonts w:ascii="Arial" w:hAnsi="Arial" w:cs="Arial"/>
            <w:color w:val="auto"/>
            <w:sz w:val="22"/>
            <w:szCs w:val="22"/>
          </w:rPr>
          <w:t>http://www.poderjudicial.es/search/openDocument/1b7f0189144dbe4d/20030918</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10"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2434/1998</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ES:TS:1998:2434</w:t>
        </w:r>
        <w:proofErr w:type="gramEnd"/>
      </w:hyperlink>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Nº de Resolución: 356/1998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lastRenderedPageBreak/>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Ponente: EDUARDO MONER MUÑOZ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Nº Recurso: 1216/1997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Fecha: 15/04/1998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3"/>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 Blanqueo de Capitales.- Presunción de Inocencia.- Prueba indiciaria.</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11" w:history="1">
        <w:r w:rsidRPr="006D3DD4">
          <w:rPr>
            <w:rStyle w:val="Hipervnculo"/>
            <w:rFonts w:ascii="Arial" w:hAnsi="Arial" w:cs="Arial"/>
            <w:color w:val="auto"/>
            <w:sz w:val="22"/>
            <w:szCs w:val="22"/>
          </w:rPr>
          <w:t>http://www.poderjudicial.es/search/openDocument/d902591e4155b8f6/20030918</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12"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8509/1999</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ES:TS:1999:8509</w:t>
        </w:r>
        <w:proofErr w:type="gramEnd"/>
      </w:hyperlink>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Nº de Resolución: 1842/1999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Ponente: LUIS ROMAN PUERTA LUIS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Nº Recurso: 1489/1998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Fecha: 28/12/1999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4"/>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*Tráfico de drogas y blanqueo de dinero.*Nulidad de actuaciones (formación de piezas separadas, secreto, falta de notificación del auto acordando seguir los trámites del Procedimiento Abreviado): no concurre.*Dilaciones indebidas: no se aprecian.*Quebrantamiento de forma (falta de claridad, contradicción, predeterminación, incongruencia omisiva): no se aprecia.*Presunción de inocencia: existe suficiente prueba de cargo para enervar la presunción de inocencia de los acusados. *Prescripción: no puede apreciarse.</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13" w:history="1">
        <w:r w:rsidRPr="006D3DD4">
          <w:rPr>
            <w:rStyle w:val="Hipervnculo"/>
            <w:rFonts w:ascii="Arial" w:hAnsi="Arial" w:cs="Arial"/>
            <w:color w:val="auto"/>
            <w:sz w:val="22"/>
            <w:szCs w:val="22"/>
          </w:rPr>
          <w:t>http://www.poderjudicial.es/search/openDocument/0e2de089daa63192/20031011</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14"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16/2000</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ES:TS:2000:16</w:t>
        </w:r>
        <w:proofErr w:type="gramEnd"/>
      </w:hyperlink>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Nº de Resolución: 1637/1999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Ponente: JOAQUIN GIMENEZ GARCIA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Nº Recurso: 3968/1997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lastRenderedPageBreak/>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Fecha: 10/01/2000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5"/>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-Delito de blanqueo de dinero procedente de la droga -Prueba de cargo. Prueba indiciaria. Convenio de Viena 1988-Autonomía del delito de blanqueo por referirse a dinero procedente de operaciones de droga distintas de aquellos actos de tráfico por el que en época anterior fue condenado el autor-Valoración de quien se pone en situación de ignorancia deliberada y sin embargo se beneficia de dicha situación</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15" w:history="1">
        <w:r w:rsidRPr="006D3DD4">
          <w:rPr>
            <w:rStyle w:val="Hipervnculo"/>
            <w:rFonts w:ascii="Arial" w:hAnsi="Arial" w:cs="Arial"/>
            <w:color w:val="auto"/>
            <w:sz w:val="22"/>
            <w:szCs w:val="22"/>
          </w:rPr>
          <w:t>http://www.poderjudicial.es/search/openDocument/369541b48517b70c/20030808</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16"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6675/2001</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ES:TS:2001:6675</w:t>
        </w:r>
        <w:proofErr w:type="gramEnd"/>
      </w:hyperlink>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Nº de Resolución: 1293/2001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Ponente: JULIAN ARTEMIO SANCHEZ MELGAR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Nº Recurso: 137/2000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Fecha: 28/07/2001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6"/>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 Delito contra la salud pública. Cantidad de notoria importancia, organización y jefatura.* Delito de blanqueo de capitales procedente del narcotráfico.* Falsedad de documentos oficiales.* Presunción de inocencia.* Predeterminación del fallo.* Proceso sin dilaciones indebidas. Tardanza en dictar la Sentencia, tras la celebración del juicio oral. * Secreto de las comunicaciones: motivación del auto judicial autorizante. Perito traductor.* Falsedad de documentos de identidad portugueses cometida en España, para ocultar su situación ilegal. * Desestimación del art. 370 (extrema gravedad) del Código Penal.* Narcotraficante: posibilidad de blanqueo.</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17" w:history="1">
        <w:r w:rsidRPr="006D3DD4">
          <w:rPr>
            <w:rStyle w:val="Hipervnculo"/>
            <w:rFonts w:ascii="Arial" w:hAnsi="Arial" w:cs="Arial"/>
            <w:color w:val="auto"/>
            <w:sz w:val="22"/>
            <w:szCs w:val="22"/>
          </w:rPr>
          <w:t>http://www.poderjudicial.es/search/openDocument/8d6e2cb06aab651b/20031011</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18"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6866/2001</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ES:TS:2001:6866</w:t>
        </w:r>
        <w:proofErr w:type="gramEnd"/>
      </w:hyperlink>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Nº de Resolución: 1584/2001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Ponente: JOAQUIN DELGADO GARCIA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Nº Recurso: 778/2000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lastRenderedPageBreak/>
        <w:t>Fecha: 18/09/2001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7"/>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*Tráfico de drogas y blanqueo de capitales. Presunción de inocencia y otras cuestiones.</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19" w:history="1">
        <w:r w:rsidRPr="006D3DD4">
          <w:rPr>
            <w:rStyle w:val="Hipervnculo"/>
            <w:rFonts w:ascii="Arial" w:hAnsi="Arial" w:cs="Arial"/>
            <w:color w:val="auto"/>
            <w:sz w:val="22"/>
            <w:szCs w:val="22"/>
          </w:rPr>
          <w:t>http://www.poderjudicial.es/sear</w:t>
        </w:r>
        <w:r w:rsidRPr="006D3DD4">
          <w:rPr>
            <w:rStyle w:val="Hipervnculo"/>
            <w:rFonts w:ascii="Arial" w:hAnsi="Arial" w:cs="Arial"/>
            <w:color w:val="auto"/>
            <w:sz w:val="22"/>
            <w:szCs w:val="22"/>
          </w:rPr>
          <w:t>c</w:t>
        </w:r>
        <w:r w:rsidRPr="006D3DD4">
          <w:rPr>
            <w:rStyle w:val="Hipervnculo"/>
            <w:rFonts w:ascii="Arial" w:hAnsi="Arial" w:cs="Arial"/>
            <w:color w:val="auto"/>
            <w:sz w:val="22"/>
            <w:szCs w:val="22"/>
          </w:rPr>
          <w:t>h/openDocument/ac077d9d3b17a932/20031011</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shd w:val="clear" w:color="auto" w:fill="FFFFFF"/>
        <w:rPr>
          <w:rFonts w:ascii="Arial" w:hAnsi="Arial" w:cs="Arial"/>
          <w:b/>
          <w:bCs/>
          <w:sz w:val="22"/>
          <w:szCs w:val="22"/>
        </w:rPr>
      </w:pPr>
      <w:hyperlink r:id="rId20" w:tgtFrame="_blank" w:history="1">
        <w:r w:rsidRPr="006D3DD4">
          <w:rPr>
            <w:rStyle w:val="Hipervnculo"/>
            <w:rFonts w:ascii="Arial" w:hAnsi="Arial" w:cs="Arial"/>
            <w:color w:val="auto"/>
            <w:sz w:val="22"/>
            <w:szCs w:val="22"/>
          </w:rPr>
          <w:t>ROJ: </w:t>
        </w:r>
        <w:r w:rsidRPr="006D3DD4">
          <w:rPr>
            <w:rStyle w:val="Textoennegrita"/>
            <w:rFonts w:ascii="Arial" w:hAnsi="Arial" w:cs="Arial"/>
            <w:sz w:val="22"/>
            <w:szCs w:val="22"/>
          </w:rPr>
          <w:t>STS 7339/2001</w:t>
        </w:r>
        <w:r w:rsidRPr="006D3DD4">
          <w:rPr>
            <w:rStyle w:val="Hipervnculo"/>
            <w:rFonts w:ascii="Arial" w:hAnsi="Arial" w:cs="Arial"/>
            <w:color w:val="auto"/>
            <w:sz w:val="22"/>
            <w:szCs w:val="22"/>
          </w:rPr>
          <w:t> - ECLI</w:t>
        </w:r>
        <w:proofErr w:type="gramStart"/>
        <w:r w:rsidRPr="006D3DD4">
          <w:rPr>
            <w:rStyle w:val="Hipervnculo"/>
            <w:rFonts w:ascii="Arial" w:hAnsi="Arial" w:cs="Arial"/>
            <w:color w:val="auto"/>
            <w:sz w:val="22"/>
            <w:szCs w:val="22"/>
          </w:rPr>
          <w:t>:</w:t>
        </w:r>
        <w:r w:rsidRPr="006D3DD4">
          <w:rPr>
            <w:rStyle w:val="Textoennegrita"/>
            <w:rFonts w:ascii="Arial" w:hAnsi="Arial" w:cs="Arial"/>
            <w:sz w:val="22"/>
            <w:szCs w:val="22"/>
          </w:rPr>
          <w:t>ES:TS:2001:7339</w:t>
        </w:r>
        <w:proofErr w:type="gramEnd"/>
      </w:hyperlink>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Nº de Resolución: 1704/2001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Tipo Órgano: Tribunal Supremo. Sala de lo Penal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Municipio: Madrid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Ponente: JOSE JIMENEZ VILLAREJO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Nº Recurso: 1431/2000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Fecha: 29/09/2001 </w:t>
      </w:r>
    </w:p>
    <w:p w:rsidR="006D3DD4" w:rsidRPr="006D3DD4" w:rsidRDefault="006D3DD4" w:rsidP="006D3DD4">
      <w:pPr>
        <w:shd w:val="clear" w:color="auto" w:fill="FFFFFF"/>
        <w:rPr>
          <w:rFonts w:ascii="Arial" w:hAnsi="Arial" w:cs="Arial"/>
          <w:sz w:val="22"/>
          <w:szCs w:val="22"/>
        </w:rPr>
      </w:pPr>
      <w:r w:rsidRPr="006D3DD4">
        <w:rPr>
          <w:rFonts w:ascii="Arial" w:hAnsi="Arial" w:cs="Arial"/>
          <w:sz w:val="22"/>
          <w:szCs w:val="22"/>
        </w:rPr>
        <w:t> </w:t>
      </w:r>
    </w:p>
    <w:p w:rsidR="006D3DD4" w:rsidRPr="006D3DD4" w:rsidRDefault="006D3DD4" w:rsidP="006D3DD4">
      <w:pPr>
        <w:numPr>
          <w:ilvl w:val="0"/>
          <w:numId w:val="8"/>
        </w:numPr>
        <w:shd w:val="clear" w:color="auto" w:fill="FFFFFF"/>
        <w:ind w:left="0" w:right="75"/>
        <w:rPr>
          <w:rFonts w:ascii="Arial" w:hAnsi="Arial" w:cs="Arial"/>
          <w:sz w:val="22"/>
          <w:szCs w:val="22"/>
        </w:rPr>
      </w:pPr>
      <w:r w:rsidRPr="006D3DD4">
        <w:rPr>
          <w:rFonts w:ascii="Arial" w:hAnsi="Arial" w:cs="Arial"/>
          <w:sz w:val="22"/>
          <w:szCs w:val="22"/>
        </w:rPr>
        <w:t>Tipo Resolución: Sentencia</w:t>
      </w:r>
    </w:p>
    <w:p w:rsidR="006D3DD4" w:rsidRPr="006D3DD4" w:rsidRDefault="006D3DD4" w:rsidP="006D3DD4">
      <w:pPr>
        <w:shd w:val="clear" w:color="auto" w:fill="FFFFFF"/>
        <w:jc w:val="both"/>
        <w:rPr>
          <w:rFonts w:ascii="Arial" w:hAnsi="Arial" w:cs="Arial"/>
          <w:sz w:val="22"/>
          <w:szCs w:val="22"/>
        </w:rPr>
      </w:pPr>
      <w:r w:rsidRPr="006D3DD4">
        <w:rPr>
          <w:rFonts w:ascii="Arial" w:hAnsi="Arial" w:cs="Arial"/>
          <w:sz w:val="22"/>
          <w:szCs w:val="22"/>
        </w:rPr>
        <w:t>RESUMEN: Blanqueo de dinero procedente de tráfico de estupefacientes. Problemas de derecho transitorio en relación con los tipos establecidos en el CP 1.973. No es necesario que haya recaído sentencia penal en relación con el tráfico de estupefacientes. Operaciones que ocultan el origen del dinero y favorecen a quien ha obtenido las ganancias. Indicios de los que se puede deducir el conocimiento del origen del dinero blanqueado.</w:t>
      </w:r>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6D3DD4" w:rsidRPr="006D3DD4" w:rsidRDefault="006D3DD4" w:rsidP="006D3DD4">
      <w:pPr>
        <w:autoSpaceDE w:val="0"/>
        <w:autoSpaceDN w:val="0"/>
        <w:adjustRightInd w:val="0"/>
        <w:spacing w:line="226" w:lineRule="auto"/>
        <w:jc w:val="both"/>
        <w:rPr>
          <w:rFonts w:ascii="Arial" w:hAnsi="Arial" w:cs="Arial"/>
          <w:sz w:val="22"/>
          <w:szCs w:val="22"/>
        </w:rPr>
      </w:pPr>
      <w:hyperlink r:id="rId21" w:history="1">
        <w:r w:rsidRPr="006D3DD4">
          <w:rPr>
            <w:rStyle w:val="Hipervnculo"/>
            <w:rFonts w:ascii="Arial" w:hAnsi="Arial" w:cs="Arial"/>
            <w:color w:val="auto"/>
            <w:sz w:val="22"/>
            <w:szCs w:val="22"/>
          </w:rPr>
          <w:t>http://www.poderjudicial.es/search/openDocument/27416b99032d534b/20031203</w:t>
        </w:r>
      </w:hyperlink>
    </w:p>
    <w:p w:rsidR="006D3DD4" w:rsidRPr="006D3DD4" w:rsidRDefault="006D3DD4" w:rsidP="006D3DD4">
      <w:pPr>
        <w:autoSpaceDE w:val="0"/>
        <w:autoSpaceDN w:val="0"/>
        <w:adjustRightInd w:val="0"/>
        <w:spacing w:line="226" w:lineRule="auto"/>
        <w:jc w:val="both"/>
        <w:rPr>
          <w:rFonts w:ascii="Arial" w:hAnsi="Arial" w:cs="Arial"/>
          <w:sz w:val="22"/>
          <w:szCs w:val="22"/>
        </w:rPr>
      </w:pPr>
    </w:p>
    <w:p w:rsidR="00B65699" w:rsidRPr="006D3DD4" w:rsidRDefault="00520AE4">
      <w:pPr>
        <w:rPr>
          <w:sz w:val="22"/>
          <w:szCs w:val="22"/>
        </w:rPr>
      </w:pPr>
    </w:p>
    <w:sectPr w:rsidR="00B65699" w:rsidRPr="006D3D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1E32"/>
    <w:multiLevelType w:val="multilevel"/>
    <w:tmpl w:val="4EA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76DFD"/>
    <w:multiLevelType w:val="multilevel"/>
    <w:tmpl w:val="A07E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30C80"/>
    <w:multiLevelType w:val="multilevel"/>
    <w:tmpl w:val="985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C056A"/>
    <w:multiLevelType w:val="multilevel"/>
    <w:tmpl w:val="D5C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B38B0"/>
    <w:multiLevelType w:val="multilevel"/>
    <w:tmpl w:val="C87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010551"/>
    <w:multiLevelType w:val="multilevel"/>
    <w:tmpl w:val="495E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0378D"/>
    <w:multiLevelType w:val="multilevel"/>
    <w:tmpl w:val="B0B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91150"/>
    <w:multiLevelType w:val="multilevel"/>
    <w:tmpl w:val="CAB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D4"/>
    <w:rsid w:val="000B1181"/>
    <w:rsid w:val="00391F97"/>
    <w:rsid w:val="00520AE4"/>
    <w:rsid w:val="006D3DD4"/>
    <w:rsid w:val="00905C4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D3DD4"/>
    <w:rPr>
      <w:rFonts w:cs="Times New Roman"/>
      <w:b/>
      <w:bCs/>
    </w:rPr>
  </w:style>
  <w:style w:type="character" w:styleId="Hipervnculo">
    <w:name w:val="Hyperlink"/>
    <w:uiPriority w:val="99"/>
    <w:rsid w:val="006D3DD4"/>
    <w:rPr>
      <w:color w:val="0000FF"/>
      <w:u w:val="single"/>
    </w:rPr>
  </w:style>
  <w:style w:type="character" w:styleId="Hipervnculovisitado">
    <w:name w:val="FollowedHyperlink"/>
    <w:basedOn w:val="Fuentedeprrafopredeter"/>
    <w:uiPriority w:val="99"/>
    <w:semiHidden/>
    <w:unhideWhenUsed/>
    <w:rsid w:val="006D3D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D3DD4"/>
    <w:rPr>
      <w:rFonts w:cs="Times New Roman"/>
      <w:b/>
      <w:bCs/>
    </w:rPr>
  </w:style>
  <w:style w:type="character" w:styleId="Hipervnculo">
    <w:name w:val="Hyperlink"/>
    <w:uiPriority w:val="99"/>
    <w:rsid w:val="006D3DD4"/>
    <w:rPr>
      <w:color w:val="0000FF"/>
      <w:u w:val="single"/>
    </w:rPr>
  </w:style>
  <w:style w:type="character" w:styleId="Hipervnculovisitado">
    <w:name w:val="FollowedHyperlink"/>
    <w:basedOn w:val="Fuentedeprrafopredeter"/>
    <w:uiPriority w:val="99"/>
    <w:semiHidden/>
    <w:unhideWhenUsed/>
    <w:rsid w:val="006D3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erjudicial.es/search/index.jsp" TargetMode="External"/><Relationship Id="rId13" Type="http://schemas.openxmlformats.org/officeDocument/2006/relationships/hyperlink" Target="http://www.poderjudicial.es/search/openDocument/0e2de089daa63192/20031011" TargetMode="External"/><Relationship Id="rId18" Type="http://schemas.openxmlformats.org/officeDocument/2006/relationships/hyperlink" Target="http://www.poderjudicial.es/search/index.jsp" TargetMode="External"/><Relationship Id="rId3" Type="http://schemas.microsoft.com/office/2007/relationships/stylesWithEffects" Target="stylesWithEffects.xml"/><Relationship Id="rId21" Type="http://schemas.openxmlformats.org/officeDocument/2006/relationships/hyperlink" Target="http://www.poderjudicial.es/search/openDocument/27416b99032d534b/20031203" TargetMode="External"/><Relationship Id="rId7" Type="http://schemas.openxmlformats.org/officeDocument/2006/relationships/hyperlink" Target="http://www.poderjudicial.es/search/openDocument/8d2c004be393a51a/20031003" TargetMode="External"/><Relationship Id="rId12" Type="http://schemas.openxmlformats.org/officeDocument/2006/relationships/hyperlink" Target="http://www.poderjudicial.es/search/index.jsp" TargetMode="External"/><Relationship Id="rId17" Type="http://schemas.openxmlformats.org/officeDocument/2006/relationships/hyperlink" Target="http://www.poderjudicial.es/search/openDocument/8d6e2cb06aab651b/20031011" TargetMode="External"/><Relationship Id="rId2" Type="http://schemas.openxmlformats.org/officeDocument/2006/relationships/styles" Target="styles.xml"/><Relationship Id="rId16" Type="http://schemas.openxmlformats.org/officeDocument/2006/relationships/hyperlink" Target="http://www.poderjudicial.es/search/index.jsp" TargetMode="External"/><Relationship Id="rId20" Type="http://schemas.openxmlformats.org/officeDocument/2006/relationships/hyperlink" Target="http://www.poderjudicial.es/search/index.jsp" TargetMode="External"/><Relationship Id="rId1" Type="http://schemas.openxmlformats.org/officeDocument/2006/relationships/numbering" Target="numbering.xml"/><Relationship Id="rId6" Type="http://schemas.openxmlformats.org/officeDocument/2006/relationships/hyperlink" Target="http://www.poderjudicial.es/search/index.jsp" TargetMode="External"/><Relationship Id="rId11" Type="http://schemas.openxmlformats.org/officeDocument/2006/relationships/hyperlink" Target="http://www.poderjudicial.es/search/openDocument/d902591e4155b8f6/20030918" TargetMode="External"/><Relationship Id="rId5" Type="http://schemas.openxmlformats.org/officeDocument/2006/relationships/webSettings" Target="webSettings.xml"/><Relationship Id="rId15" Type="http://schemas.openxmlformats.org/officeDocument/2006/relationships/hyperlink" Target="http://www.poderjudicial.es/search/openDocument/369541b48517b70c/20030808" TargetMode="External"/><Relationship Id="rId23" Type="http://schemas.openxmlformats.org/officeDocument/2006/relationships/theme" Target="theme/theme1.xml"/><Relationship Id="rId10" Type="http://schemas.openxmlformats.org/officeDocument/2006/relationships/hyperlink" Target="http://www.poderjudicial.es/search/index.jsp" TargetMode="External"/><Relationship Id="rId19" Type="http://schemas.openxmlformats.org/officeDocument/2006/relationships/hyperlink" Target="http://www.poderjudicial.es/search/openDocument/ac077d9d3b17a932/20031011" TargetMode="External"/><Relationship Id="rId4" Type="http://schemas.openxmlformats.org/officeDocument/2006/relationships/settings" Target="settings.xml"/><Relationship Id="rId9" Type="http://schemas.openxmlformats.org/officeDocument/2006/relationships/hyperlink" Target="http://www.poderjudicial.es/search/openDocument/1b7f0189144dbe4d/20030918" TargetMode="External"/><Relationship Id="rId14" Type="http://schemas.openxmlformats.org/officeDocument/2006/relationships/hyperlink" Target="http://www.poderjudicial.es/search/index.jsp"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1038</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ABRAHAM MALKY APAZA</dc:creator>
  <cp:lastModifiedBy>JOSE ABRAHAM MALKY APAZA</cp:lastModifiedBy>
  <cp:revision>1</cp:revision>
  <cp:lastPrinted>2019-05-09T16:04:00Z</cp:lastPrinted>
  <dcterms:created xsi:type="dcterms:W3CDTF">2019-05-09T16:03:00Z</dcterms:created>
  <dcterms:modified xsi:type="dcterms:W3CDTF">2019-05-09T20:18:00Z</dcterms:modified>
</cp:coreProperties>
</file>